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2D" w:rsidRPr="00683B44" w:rsidRDefault="003B052D" w:rsidP="003B052D">
      <w:pPr>
        <w:jc w:val="right"/>
        <w:rPr>
          <w:b/>
        </w:rPr>
      </w:pPr>
      <w:r w:rsidRPr="00683B44">
        <w:rPr>
          <w:b/>
        </w:rPr>
        <w:t>Appendix 2</w:t>
      </w:r>
    </w:p>
    <w:p w:rsidR="003B052D" w:rsidRPr="00683B44" w:rsidRDefault="003B052D" w:rsidP="003B052D">
      <w:pPr>
        <w:jc w:val="center"/>
        <w:rPr>
          <w:b/>
          <w:u w:val="single"/>
        </w:rPr>
      </w:pPr>
      <w:r w:rsidRPr="00683B44">
        <w:rPr>
          <w:rFonts w:cs="Arial"/>
          <w:b/>
          <w:u w:val="single"/>
        </w:rPr>
        <w:t>Amended Non-Specified Investments list</w:t>
      </w:r>
    </w:p>
    <w:p w:rsidR="003B052D" w:rsidRDefault="003B052D" w:rsidP="003B052D">
      <w:pPr>
        <w:jc w:val="both"/>
      </w:pPr>
    </w:p>
    <w:p w:rsidR="003B052D" w:rsidRPr="00EB770C" w:rsidRDefault="003B052D" w:rsidP="003B052D">
      <w:pPr>
        <w:spacing w:before="120"/>
      </w:pPr>
      <w:r w:rsidRPr="00EB770C">
        <w:rPr>
          <w:b/>
        </w:rPr>
        <w:t>Non-Specified Investments</w:t>
      </w:r>
      <w:r w:rsidRPr="00EB770C">
        <w:t xml:space="preserve"> – Non-specified investments are any other type of investment not defined as Specified.  The identification and rationale supporting the selection of these other investments and the maximum limits to be applied are set out below.  Overall </w:t>
      </w:r>
      <w:r>
        <w:t>N</w:t>
      </w:r>
      <w:r w:rsidRPr="00EB770C">
        <w:t>on</w:t>
      </w:r>
      <w:r>
        <w:t>-</w:t>
      </w:r>
      <w:r w:rsidRPr="00EB770C">
        <w:t xml:space="preserve">specified investments will not exceed more than 25% of the </w:t>
      </w:r>
      <w:r>
        <w:t xml:space="preserve">previous year’s total </w:t>
      </w:r>
      <w:r w:rsidRPr="00EB770C">
        <w:t xml:space="preserve">investment portfolio. </w:t>
      </w:r>
      <w:r>
        <w:t>If</w:t>
      </w:r>
      <w:r w:rsidRPr="00EB770C">
        <w:t xml:space="preserve"> the Council’s average investment balance increases </w:t>
      </w:r>
      <w:r>
        <w:t xml:space="preserve">further </w:t>
      </w:r>
      <w:r w:rsidRPr="00EB770C">
        <w:t xml:space="preserve">over the medium term decisions will need to be made on the viability of undertaking additional </w:t>
      </w:r>
      <w:r>
        <w:t>N</w:t>
      </w:r>
      <w:r w:rsidRPr="00EB770C">
        <w:t>on</w:t>
      </w:r>
      <w:r>
        <w:t>-</w:t>
      </w:r>
      <w:r w:rsidRPr="00EB770C">
        <w:t xml:space="preserve">specified investments.  </w:t>
      </w:r>
      <w:r w:rsidRPr="00BD3B93">
        <w:rPr>
          <w:b/>
          <w:i/>
        </w:rPr>
        <w:t>The level of investment in a particular counterparty will be measured based on the amount of the initial investment</w:t>
      </w:r>
      <w:r w:rsidRPr="00BD3B93">
        <w:t xml:space="preserve">.  </w:t>
      </w:r>
      <w:r w:rsidRPr="00EB770C">
        <w:t>Non specified investments would include any sterling investments with:</w:t>
      </w:r>
    </w:p>
    <w:p w:rsidR="003B052D" w:rsidRPr="00EB770C" w:rsidRDefault="003B052D" w:rsidP="003B052D">
      <w:pPr>
        <w:spacing w:before="1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3B052D" w:rsidRPr="00EB770C" w:rsidTr="00946C1E">
        <w:tc>
          <w:tcPr>
            <w:tcW w:w="3821" w:type="dxa"/>
            <w:shd w:val="clear" w:color="auto" w:fill="D9D9D9"/>
          </w:tcPr>
          <w:p w:rsidR="003B052D" w:rsidRPr="00EB770C" w:rsidRDefault="003B052D" w:rsidP="00946C1E"/>
        </w:tc>
        <w:tc>
          <w:tcPr>
            <w:tcW w:w="2234" w:type="dxa"/>
            <w:shd w:val="clear" w:color="auto" w:fill="D9D9D9"/>
          </w:tcPr>
          <w:p w:rsidR="003B052D" w:rsidRPr="00EB770C" w:rsidRDefault="003B052D" w:rsidP="00946C1E">
            <w:pPr>
              <w:jc w:val="center"/>
              <w:rPr>
                <w:b/>
              </w:rPr>
            </w:pPr>
            <w:r w:rsidRPr="00EB770C">
              <w:rPr>
                <w:b/>
              </w:rPr>
              <w:t>Minimum Credit Criteria</w:t>
            </w:r>
          </w:p>
        </w:tc>
        <w:tc>
          <w:tcPr>
            <w:tcW w:w="1817" w:type="dxa"/>
            <w:shd w:val="clear" w:color="auto" w:fill="D9D9D9"/>
          </w:tcPr>
          <w:p w:rsidR="003B052D" w:rsidRPr="00EB770C" w:rsidRDefault="003B052D" w:rsidP="00946C1E">
            <w:pPr>
              <w:jc w:val="center"/>
              <w:rPr>
                <w:b/>
              </w:rPr>
            </w:pPr>
            <w:r w:rsidRPr="00EB770C">
              <w:rPr>
                <w:b/>
              </w:rPr>
              <w:t>Max % of total investments/£ limit per institution</w:t>
            </w:r>
          </w:p>
        </w:tc>
        <w:tc>
          <w:tcPr>
            <w:tcW w:w="1956" w:type="dxa"/>
            <w:shd w:val="clear" w:color="auto" w:fill="D9D9D9"/>
          </w:tcPr>
          <w:p w:rsidR="003B052D" w:rsidRPr="00EB770C" w:rsidRDefault="003B052D" w:rsidP="00946C1E">
            <w:pPr>
              <w:jc w:val="center"/>
              <w:rPr>
                <w:b/>
              </w:rPr>
            </w:pPr>
            <w:r w:rsidRPr="00EB770C">
              <w:rPr>
                <w:b/>
              </w:rPr>
              <w:t>Max maturity period</w:t>
            </w:r>
          </w:p>
        </w:tc>
      </w:tr>
      <w:tr w:rsidR="003B052D" w:rsidRPr="00EB770C" w:rsidTr="00946C1E">
        <w:tc>
          <w:tcPr>
            <w:tcW w:w="3821" w:type="dxa"/>
            <w:shd w:val="clear" w:color="auto" w:fill="auto"/>
          </w:tcPr>
          <w:p w:rsidR="003B052D" w:rsidRPr="00EB770C" w:rsidRDefault="003B052D" w:rsidP="00946C1E">
            <w:pPr>
              <w:spacing w:before="120"/>
            </w:pPr>
            <w:r w:rsidRPr="00EB770C">
              <w:t xml:space="preserve">Local Authorities, Fire and Police </w:t>
            </w:r>
            <w:r>
              <w:t>A</w:t>
            </w:r>
            <w:r w:rsidRPr="00EB770C">
              <w:t xml:space="preserve">uthorities </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t>15</w:t>
            </w:r>
            <w:r w:rsidRPr="00EB770C">
              <w:t>% of total investments</w:t>
            </w:r>
          </w:p>
        </w:tc>
        <w:tc>
          <w:tcPr>
            <w:tcW w:w="1956" w:type="dxa"/>
            <w:shd w:val="clear" w:color="auto" w:fill="auto"/>
          </w:tcPr>
          <w:p w:rsidR="003B052D" w:rsidRPr="00CF6A05" w:rsidRDefault="003B052D" w:rsidP="00946C1E">
            <w:r w:rsidRPr="00CF6A05">
              <w:t xml:space="preserve">Up to </w:t>
            </w:r>
            <w:r>
              <w:t>2</w:t>
            </w:r>
            <w:r w:rsidRPr="00CF6A05">
              <w:t xml:space="preserve"> years</w:t>
            </w:r>
          </w:p>
        </w:tc>
      </w:tr>
      <w:tr w:rsidR="003B052D" w:rsidRPr="00EB770C" w:rsidTr="00946C1E">
        <w:tc>
          <w:tcPr>
            <w:tcW w:w="3821" w:type="dxa"/>
            <w:shd w:val="clear" w:color="auto" w:fill="auto"/>
          </w:tcPr>
          <w:p w:rsidR="003B052D" w:rsidRPr="00EB770C" w:rsidRDefault="003B052D" w:rsidP="00946C1E">
            <w:r w:rsidRPr="00EB770C">
              <w:t>Fixed term deposits with variable rate and variable maturities</w:t>
            </w:r>
          </w:p>
        </w:tc>
        <w:tc>
          <w:tcPr>
            <w:tcW w:w="2234" w:type="dxa"/>
            <w:shd w:val="clear" w:color="auto" w:fill="auto"/>
          </w:tcPr>
          <w:p w:rsidR="003B052D" w:rsidRPr="00EB770C" w:rsidRDefault="003B052D" w:rsidP="00946C1E">
            <w:r w:rsidRPr="00EB770C">
              <w:t>Orange</w:t>
            </w:r>
          </w:p>
        </w:tc>
        <w:tc>
          <w:tcPr>
            <w:tcW w:w="1817" w:type="dxa"/>
            <w:shd w:val="clear" w:color="auto" w:fill="auto"/>
          </w:tcPr>
          <w:p w:rsidR="003B052D" w:rsidRPr="00EB770C" w:rsidRDefault="003B052D" w:rsidP="00946C1E">
            <w:r>
              <w:t>15</w:t>
            </w:r>
            <w:r w:rsidRPr="00EB770C">
              <w:t>% of total investments</w:t>
            </w:r>
          </w:p>
        </w:tc>
        <w:tc>
          <w:tcPr>
            <w:tcW w:w="1956" w:type="dxa"/>
            <w:shd w:val="clear" w:color="auto" w:fill="auto"/>
          </w:tcPr>
          <w:p w:rsidR="003B052D" w:rsidRPr="00EB770C" w:rsidRDefault="003B052D" w:rsidP="00946C1E">
            <w:r w:rsidRPr="00EB770C">
              <w:t>Up</w:t>
            </w:r>
            <w:r>
              <w:t xml:space="preserve"> </w:t>
            </w:r>
            <w:r w:rsidRPr="00EB770C">
              <w:t>to 1 year</w:t>
            </w:r>
          </w:p>
        </w:tc>
      </w:tr>
      <w:tr w:rsidR="003B052D" w:rsidRPr="00EB770C" w:rsidTr="00946C1E">
        <w:tc>
          <w:tcPr>
            <w:tcW w:w="3821" w:type="dxa"/>
            <w:shd w:val="clear" w:color="auto" w:fill="auto"/>
          </w:tcPr>
          <w:p w:rsidR="003B052D" w:rsidRPr="00EB770C" w:rsidRDefault="003B052D" w:rsidP="00946C1E">
            <w:r w:rsidRPr="00EB770C">
              <w:t>Fixed term deposits with variable rate and variable maturities</w:t>
            </w:r>
          </w:p>
        </w:tc>
        <w:tc>
          <w:tcPr>
            <w:tcW w:w="2234" w:type="dxa"/>
            <w:shd w:val="clear" w:color="auto" w:fill="auto"/>
            <w:vAlign w:val="center"/>
          </w:tcPr>
          <w:p w:rsidR="003B052D" w:rsidRPr="00EB770C" w:rsidRDefault="003B052D" w:rsidP="00946C1E">
            <w:pPr>
              <w:numPr>
                <w:ilvl w:val="12"/>
                <w:numId w:val="0"/>
              </w:numPr>
              <w:tabs>
                <w:tab w:val="left" w:pos="360"/>
              </w:tabs>
              <w:rPr>
                <w:rFonts w:cs="Arial"/>
                <w:noProof/>
              </w:rPr>
            </w:pPr>
            <w:r w:rsidRPr="00EB770C">
              <w:rPr>
                <w:rFonts w:cs="Arial"/>
                <w:noProof/>
              </w:rPr>
              <w:t>Yellow</w:t>
            </w:r>
          </w:p>
          <w:p w:rsidR="003B052D" w:rsidRPr="00EB770C" w:rsidRDefault="003B052D" w:rsidP="00946C1E">
            <w:pPr>
              <w:numPr>
                <w:ilvl w:val="12"/>
                <w:numId w:val="0"/>
              </w:numPr>
              <w:tabs>
                <w:tab w:val="left" w:pos="360"/>
              </w:tabs>
              <w:rPr>
                <w:rFonts w:cs="Arial"/>
                <w:noProof/>
              </w:rPr>
            </w:pPr>
            <w:r w:rsidRPr="00EB770C">
              <w:rPr>
                <w:rFonts w:cs="Arial"/>
                <w:noProof/>
              </w:rPr>
              <w:t>Purple</w:t>
            </w:r>
          </w:p>
          <w:p w:rsidR="003B052D" w:rsidRPr="00EB770C" w:rsidRDefault="003B052D" w:rsidP="00946C1E">
            <w:pPr>
              <w:numPr>
                <w:ilvl w:val="12"/>
                <w:numId w:val="0"/>
              </w:numPr>
              <w:tabs>
                <w:tab w:val="left" w:pos="360"/>
              </w:tabs>
            </w:pPr>
          </w:p>
        </w:tc>
        <w:tc>
          <w:tcPr>
            <w:tcW w:w="1817" w:type="dxa"/>
            <w:shd w:val="clear" w:color="auto" w:fill="auto"/>
            <w:vAlign w:val="center"/>
          </w:tcPr>
          <w:p w:rsidR="003B052D" w:rsidRPr="00EB770C" w:rsidRDefault="003B052D" w:rsidP="00946C1E">
            <w:r w:rsidRPr="00EB770C">
              <w:rPr>
                <w:rFonts w:cs="Arial"/>
                <w:noProof/>
              </w:rPr>
              <w:t>£10m or 20% of total investments</w:t>
            </w:r>
          </w:p>
        </w:tc>
        <w:tc>
          <w:tcPr>
            <w:tcW w:w="1956" w:type="dxa"/>
            <w:shd w:val="clear" w:color="auto" w:fill="auto"/>
            <w:vAlign w:val="center"/>
          </w:tcPr>
          <w:p w:rsidR="003B052D" w:rsidRPr="00EB770C" w:rsidRDefault="003B052D" w:rsidP="00946C1E">
            <w:pPr>
              <w:numPr>
                <w:ilvl w:val="12"/>
                <w:numId w:val="0"/>
              </w:numPr>
              <w:tabs>
                <w:tab w:val="left" w:pos="360"/>
              </w:tabs>
              <w:rPr>
                <w:rFonts w:cs="Arial"/>
                <w:noProof/>
              </w:rPr>
            </w:pPr>
            <w:r w:rsidRPr="00EB770C">
              <w:rPr>
                <w:rFonts w:cs="Arial"/>
                <w:noProof/>
              </w:rPr>
              <w:t>Up to 5 years</w:t>
            </w:r>
          </w:p>
          <w:p w:rsidR="003B052D" w:rsidRPr="00EB770C" w:rsidRDefault="003B052D" w:rsidP="00946C1E">
            <w:pPr>
              <w:numPr>
                <w:ilvl w:val="12"/>
                <w:numId w:val="0"/>
              </w:numPr>
              <w:tabs>
                <w:tab w:val="left" w:pos="360"/>
              </w:tabs>
              <w:rPr>
                <w:rFonts w:cs="Arial"/>
                <w:noProof/>
              </w:rPr>
            </w:pPr>
            <w:r w:rsidRPr="00EB770C">
              <w:rPr>
                <w:rFonts w:cs="Arial"/>
                <w:noProof/>
              </w:rPr>
              <w:t>Up to 2 years</w:t>
            </w:r>
          </w:p>
          <w:p w:rsidR="003B052D" w:rsidRPr="00EB770C" w:rsidRDefault="003B052D" w:rsidP="00946C1E">
            <w:pPr>
              <w:numPr>
                <w:ilvl w:val="12"/>
                <w:numId w:val="0"/>
              </w:numPr>
              <w:tabs>
                <w:tab w:val="left" w:pos="360"/>
              </w:tabs>
            </w:pPr>
          </w:p>
        </w:tc>
      </w:tr>
      <w:tr w:rsidR="003B052D" w:rsidRPr="00EB770C" w:rsidTr="00946C1E">
        <w:tc>
          <w:tcPr>
            <w:tcW w:w="3821" w:type="dxa"/>
            <w:shd w:val="clear" w:color="auto" w:fill="auto"/>
          </w:tcPr>
          <w:p w:rsidR="003B052D" w:rsidRPr="00EB770C" w:rsidRDefault="003B052D" w:rsidP="00946C1E">
            <w:r w:rsidRPr="00EB770C">
              <w:t>Commercial paper issuance covered by a specific UK Government (explicit) guarantee</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rsidRPr="00EB770C">
              <w:t>10% of total investments</w:t>
            </w:r>
          </w:p>
        </w:tc>
        <w:tc>
          <w:tcPr>
            <w:tcW w:w="1956" w:type="dxa"/>
            <w:shd w:val="clear" w:color="auto" w:fill="auto"/>
          </w:tcPr>
          <w:p w:rsidR="003B052D" w:rsidRPr="00EB770C" w:rsidRDefault="003B052D" w:rsidP="00946C1E">
            <w:r w:rsidRPr="00EB770C">
              <w:t>Up</w:t>
            </w:r>
            <w:r>
              <w:t xml:space="preserve"> </w:t>
            </w:r>
            <w:r w:rsidRPr="00EB770C">
              <w:t>to 1 year</w:t>
            </w:r>
          </w:p>
        </w:tc>
      </w:tr>
      <w:tr w:rsidR="003B052D" w:rsidRPr="00EB770C" w:rsidTr="00946C1E">
        <w:tc>
          <w:tcPr>
            <w:tcW w:w="3821" w:type="dxa"/>
            <w:shd w:val="clear" w:color="auto" w:fill="auto"/>
          </w:tcPr>
          <w:p w:rsidR="003B052D" w:rsidRPr="00EB770C" w:rsidRDefault="003B052D" w:rsidP="00946C1E">
            <w:r w:rsidRPr="00EB770C">
              <w:t>Fixed term deposits with unrated Building Societies</w:t>
            </w:r>
          </w:p>
        </w:tc>
        <w:tc>
          <w:tcPr>
            <w:tcW w:w="2234" w:type="dxa"/>
            <w:shd w:val="clear" w:color="auto" w:fill="auto"/>
          </w:tcPr>
          <w:p w:rsidR="003B052D" w:rsidRPr="00EB770C" w:rsidRDefault="003B052D" w:rsidP="00946C1E">
            <w:r w:rsidRPr="00EB770C">
              <w:t>Asset Base over £9bn</w:t>
            </w:r>
          </w:p>
        </w:tc>
        <w:tc>
          <w:tcPr>
            <w:tcW w:w="1817" w:type="dxa"/>
            <w:shd w:val="clear" w:color="auto" w:fill="auto"/>
          </w:tcPr>
          <w:p w:rsidR="003B052D" w:rsidRPr="00EB770C" w:rsidRDefault="003B052D" w:rsidP="00946C1E">
            <w:r w:rsidRPr="00EB770C">
              <w:t>£3m – 20% of total investments</w:t>
            </w:r>
          </w:p>
        </w:tc>
        <w:tc>
          <w:tcPr>
            <w:tcW w:w="1956" w:type="dxa"/>
            <w:shd w:val="clear" w:color="auto" w:fill="auto"/>
          </w:tcPr>
          <w:p w:rsidR="003B052D" w:rsidRPr="00EB770C" w:rsidRDefault="003B052D" w:rsidP="00946C1E">
            <w:r>
              <w:t>100 days</w:t>
            </w:r>
          </w:p>
        </w:tc>
      </w:tr>
      <w:tr w:rsidR="003B052D" w:rsidRPr="00EB770C" w:rsidTr="00946C1E">
        <w:tc>
          <w:tcPr>
            <w:tcW w:w="3821" w:type="dxa"/>
            <w:shd w:val="clear" w:color="auto" w:fill="auto"/>
          </w:tcPr>
          <w:p w:rsidR="003B052D" w:rsidRPr="00EB770C" w:rsidRDefault="003B052D" w:rsidP="00946C1E">
            <w:r w:rsidRPr="00EB770C">
              <w:t>Commercial paper other</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t>15</w:t>
            </w:r>
            <w:r w:rsidRPr="00EB770C">
              <w:t>% of total investments</w:t>
            </w:r>
          </w:p>
        </w:tc>
        <w:tc>
          <w:tcPr>
            <w:tcW w:w="1956" w:type="dxa"/>
            <w:shd w:val="clear" w:color="auto" w:fill="auto"/>
          </w:tcPr>
          <w:p w:rsidR="003B052D" w:rsidRPr="00EB770C" w:rsidRDefault="003B052D" w:rsidP="00946C1E">
            <w:r w:rsidRPr="00EB770C">
              <w:t>Up</w:t>
            </w:r>
            <w:r>
              <w:t xml:space="preserve"> </w:t>
            </w:r>
            <w:r w:rsidRPr="00EB770C">
              <w:t>to 1 year</w:t>
            </w:r>
          </w:p>
        </w:tc>
      </w:tr>
      <w:tr w:rsidR="003B052D" w:rsidRPr="00EB770C" w:rsidTr="00946C1E">
        <w:tc>
          <w:tcPr>
            <w:tcW w:w="3821" w:type="dxa"/>
            <w:shd w:val="clear" w:color="auto" w:fill="auto"/>
          </w:tcPr>
          <w:p w:rsidR="003B052D" w:rsidRPr="00EB770C" w:rsidRDefault="003B052D" w:rsidP="00946C1E">
            <w:r w:rsidRPr="00EB770C">
              <w:t>Corporate bonds</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t>15</w:t>
            </w:r>
            <w:r w:rsidRPr="00EB770C">
              <w:t>% of total investments</w:t>
            </w:r>
          </w:p>
        </w:tc>
        <w:tc>
          <w:tcPr>
            <w:tcW w:w="1956" w:type="dxa"/>
            <w:shd w:val="clear" w:color="auto" w:fill="auto"/>
          </w:tcPr>
          <w:p w:rsidR="003B052D" w:rsidRPr="00EB770C" w:rsidRDefault="003B052D" w:rsidP="00946C1E">
            <w:r w:rsidRPr="00EB770C">
              <w:t>Up</w:t>
            </w:r>
            <w:r>
              <w:t xml:space="preserve"> </w:t>
            </w:r>
            <w:r w:rsidRPr="00EB770C">
              <w:t>to 1 year</w:t>
            </w:r>
          </w:p>
        </w:tc>
      </w:tr>
      <w:tr w:rsidR="003B052D" w:rsidRPr="00EB770C" w:rsidTr="00946C1E">
        <w:tc>
          <w:tcPr>
            <w:tcW w:w="3821" w:type="dxa"/>
            <w:shd w:val="clear" w:color="auto" w:fill="auto"/>
          </w:tcPr>
          <w:p w:rsidR="003B052D" w:rsidRPr="00EB770C" w:rsidRDefault="003B052D" w:rsidP="00946C1E">
            <w:r w:rsidRPr="00EB770C">
              <w:t>Other debt issuance by UK banks covered  by UK Government (explicit) guarantee</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t>15</w:t>
            </w:r>
            <w:r w:rsidRPr="00EB770C">
              <w:t>% of total investments</w:t>
            </w:r>
          </w:p>
        </w:tc>
        <w:tc>
          <w:tcPr>
            <w:tcW w:w="1956" w:type="dxa"/>
            <w:shd w:val="clear" w:color="auto" w:fill="auto"/>
          </w:tcPr>
          <w:p w:rsidR="003B052D" w:rsidRPr="00EB770C" w:rsidRDefault="003B052D" w:rsidP="00946C1E">
            <w:r w:rsidRPr="00EB770C">
              <w:t>Up</w:t>
            </w:r>
            <w:r>
              <w:t xml:space="preserve"> </w:t>
            </w:r>
            <w:r w:rsidRPr="00EB770C">
              <w:t>to 1 year</w:t>
            </w:r>
          </w:p>
        </w:tc>
      </w:tr>
      <w:tr w:rsidR="003B052D" w:rsidRPr="00EB770C" w:rsidTr="00946C1E">
        <w:tc>
          <w:tcPr>
            <w:tcW w:w="3821" w:type="dxa"/>
            <w:shd w:val="clear" w:color="auto" w:fill="auto"/>
          </w:tcPr>
          <w:p w:rsidR="003B052D" w:rsidRPr="00EB770C" w:rsidRDefault="003B052D" w:rsidP="00946C1E">
            <w:r w:rsidRPr="00EB770C">
              <w:t>Floating rate notes</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t>15</w:t>
            </w:r>
            <w:r w:rsidRPr="00EB770C">
              <w:t>% of total investments</w:t>
            </w:r>
          </w:p>
        </w:tc>
        <w:tc>
          <w:tcPr>
            <w:tcW w:w="1956" w:type="dxa"/>
            <w:shd w:val="clear" w:color="auto" w:fill="auto"/>
          </w:tcPr>
          <w:p w:rsidR="003B052D" w:rsidRPr="00EB770C" w:rsidRDefault="003B052D" w:rsidP="00946C1E">
            <w:r w:rsidRPr="00EB770C">
              <w:t>Up</w:t>
            </w:r>
            <w:r>
              <w:t xml:space="preserve"> </w:t>
            </w:r>
            <w:r w:rsidRPr="00EB770C">
              <w:t>to 1 year</w:t>
            </w:r>
          </w:p>
        </w:tc>
      </w:tr>
      <w:tr w:rsidR="003B052D" w:rsidRPr="00EB770C" w:rsidTr="00946C1E">
        <w:tc>
          <w:tcPr>
            <w:tcW w:w="3821" w:type="dxa"/>
            <w:shd w:val="clear" w:color="auto" w:fill="auto"/>
          </w:tcPr>
          <w:p w:rsidR="003B052D" w:rsidRPr="00EB770C" w:rsidRDefault="003B052D" w:rsidP="00946C1E">
            <w:r w:rsidRPr="00EB770C">
              <w:t>Housing Associations</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t>15</w:t>
            </w:r>
            <w:r w:rsidRPr="00EB770C">
              <w:t>% of total investments</w:t>
            </w:r>
          </w:p>
        </w:tc>
        <w:tc>
          <w:tcPr>
            <w:tcW w:w="1956" w:type="dxa"/>
            <w:shd w:val="clear" w:color="auto" w:fill="auto"/>
          </w:tcPr>
          <w:p w:rsidR="003B052D" w:rsidRPr="00EB770C" w:rsidRDefault="003B052D" w:rsidP="00946C1E">
            <w:r w:rsidRPr="00EB770C">
              <w:t>Medium to long term</w:t>
            </w:r>
          </w:p>
        </w:tc>
      </w:tr>
      <w:tr w:rsidR="003B052D" w:rsidRPr="00EB770C" w:rsidTr="00946C1E">
        <w:tc>
          <w:tcPr>
            <w:tcW w:w="3821" w:type="dxa"/>
            <w:shd w:val="clear" w:color="auto" w:fill="auto"/>
          </w:tcPr>
          <w:p w:rsidR="003B052D" w:rsidRPr="00EB770C" w:rsidRDefault="003B052D" w:rsidP="00946C1E">
            <w:r>
              <w:t xml:space="preserve">Indirect </w:t>
            </w:r>
            <w:r w:rsidRPr="00EB770C">
              <w:t>Property fund</w:t>
            </w:r>
            <w:r>
              <w:t>s</w:t>
            </w:r>
          </w:p>
        </w:tc>
        <w:tc>
          <w:tcPr>
            <w:tcW w:w="2234" w:type="dxa"/>
            <w:shd w:val="clear" w:color="auto" w:fill="auto"/>
          </w:tcPr>
          <w:p w:rsidR="003B052D" w:rsidRPr="00EB770C" w:rsidRDefault="003B052D" w:rsidP="00946C1E"/>
        </w:tc>
        <w:tc>
          <w:tcPr>
            <w:tcW w:w="1817" w:type="dxa"/>
            <w:shd w:val="clear" w:color="auto" w:fill="auto"/>
          </w:tcPr>
          <w:p w:rsidR="003B052D" w:rsidRPr="00EB770C" w:rsidRDefault="003B052D" w:rsidP="00946C1E">
            <w:r>
              <w:t>25</w:t>
            </w:r>
            <w:r w:rsidRPr="00EB770C">
              <w:t>% of total investments</w:t>
            </w:r>
          </w:p>
        </w:tc>
        <w:tc>
          <w:tcPr>
            <w:tcW w:w="1956" w:type="dxa"/>
            <w:shd w:val="clear" w:color="auto" w:fill="auto"/>
          </w:tcPr>
          <w:p w:rsidR="003B052D" w:rsidRPr="00EB770C" w:rsidRDefault="003B052D" w:rsidP="00946C1E">
            <w:r w:rsidRPr="00EB770C">
              <w:t>Medium to long term</w:t>
            </w:r>
          </w:p>
        </w:tc>
      </w:tr>
      <w:tr w:rsidR="003B052D" w:rsidRPr="00BD3B93" w:rsidTr="00946C1E">
        <w:tc>
          <w:tcPr>
            <w:tcW w:w="3821" w:type="dxa"/>
            <w:shd w:val="clear" w:color="auto" w:fill="auto"/>
          </w:tcPr>
          <w:p w:rsidR="003B052D" w:rsidRPr="00BD3B93" w:rsidRDefault="003B052D" w:rsidP="00946C1E">
            <w:pPr>
              <w:rPr>
                <w:b/>
                <w:i/>
              </w:rPr>
            </w:pPr>
            <w:r w:rsidRPr="00BD3B93">
              <w:rPr>
                <w:b/>
                <w:i/>
              </w:rPr>
              <w:t>Fund Managed Property Investments</w:t>
            </w:r>
          </w:p>
        </w:tc>
        <w:tc>
          <w:tcPr>
            <w:tcW w:w="2234" w:type="dxa"/>
            <w:shd w:val="clear" w:color="auto" w:fill="auto"/>
          </w:tcPr>
          <w:p w:rsidR="003B052D" w:rsidRPr="00BD3B93" w:rsidRDefault="003B052D" w:rsidP="00946C1E">
            <w:pPr>
              <w:rPr>
                <w:b/>
                <w:i/>
              </w:rPr>
            </w:pPr>
          </w:p>
        </w:tc>
        <w:tc>
          <w:tcPr>
            <w:tcW w:w="1817" w:type="dxa"/>
            <w:shd w:val="clear" w:color="auto" w:fill="auto"/>
          </w:tcPr>
          <w:p w:rsidR="003B052D" w:rsidRPr="00BD3B93" w:rsidRDefault="003B052D" w:rsidP="00946C1E">
            <w:pPr>
              <w:rPr>
                <w:b/>
                <w:i/>
              </w:rPr>
            </w:pPr>
            <w:r w:rsidRPr="00BD3B93">
              <w:rPr>
                <w:b/>
                <w:i/>
              </w:rPr>
              <w:t>25% of total investments</w:t>
            </w:r>
          </w:p>
        </w:tc>
        <w:tc>
          <w:tcPr>
            <w:tcW w:w="1956" w:type="dxa"/>
            <w:shd w:val="clear" w:color="auto" w:fill="auto"/>
          </w:tcPr>
          <w:p w:rsidR="003B052D" w:rsidRPr="00BD3B93" w:rsidRDefault="003B052D" w:rsidP="00946C1E">
            <w:pPr>
              <w:rPr>
                <w:b/>
                <w:i/>
              </w:rPr>
            </w:pPr>
            <w:r w:rsidRPr="00BD3B93">
              <w:rPr>
                <w:b/>
                <w:i/>
              </w:rPr>
              <w:t>Medium to long term</w:t>
            </w:r>
          </w:p>
        </w:tc>
      </w:tr>
    </w:tbl>
    <w:p w:rsidR="008A22C6" w:rsidRPr="003B052D" w:rsidRDefault="008A22C6" w:rsidP="003B052D">
      <w:bookmarkStart w:id="0" w:name="_GoBack"/>
      <w:bookmarkEnd w:id="0"/>
    </w:p>
    <w:sectPr w:rsidR="008A22C6" w:rsidRPr="003B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2D"/>
    <w:rsid w:val="000B4310"/>
    <w:rsid w:val="003B052D"/>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2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2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913B-8751-4142-A072-B86C247C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2B155591</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2015-08-07T08:49:00Z</dcterms:created>
  <dcterms:modified xsi:type="dcterms:W3CDTF">2015-08-07T08:50:00Z</dcterms:modified>
</cp:coreProperties>
</file>